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ED02" w14:textId="59A2C1AC" w:rsidR="00DD4577" w:rsidRDefault="00DD4577" w:rsidP="00DD4577">
      <w:pPr>
        <w:spacing w:after="0" w:line="240" w:lineRule="auto"/>
        <w:ind w:left="720" w:hanging="720"/>
        <w:jc w:val="both"/>
        <w:rPr>
          <w:rFonts w:eastAsia="Calibri"/>
        </w:rPr>
      </w:pPr>
      <w:r>
        <w:rPr>
          <w:rFonts w:eastAsia="Arial" w:cs="Arial"/>
          <w:b/>
          <w:bCs/>
          <w:sz w:val="24"/>
          <w:szCs w:val="24"/>
        </w:rPr>
        <w:t xml:space="preserve">Schedule E </w:t>
      </w:r>
      <w:r w:rsidR="00114D4F">
        <w:rPr>
          <w:rFonts w:eastAsia="Arial" w:cs="Arial"/>
          <w:b/>
          <w:bCs/>
          <w:sz w:val="24"/>
          <w:szCs w:val="24"/>
        </w:rPr>
        <w:t>–</w:t>
      </w:r>
      <w:r>
        <w:rPr>
          <w:rFonts w:eastAsia="Arial" w:cs="Arial"/>
          <w:b/>
          <w:bCs/>
          <w:sz w:val="24"/>
          <w:szCs w:val="24"/>
        </w:rPr>
        <w:t xml:space="preserve"> </w:t>
      </w:r>
      <w:r w:rsidR="00114D4F">
        <w:rPr>
          <w:rFonts w:eastAsia="Arial" w:cs="Arial"/>
          <w:b/>
          <w:bCs/>
          <w:sz w:val="24"/>
          <w:szCs w:val="24"/>
        </w:rPr>
        <w:t>Data Security Requirements</w:t>
      </w:r>
    </w:p>
    <w:p w14:paraId="34CF97B3" w14:textId="77777777" w:rsidR="00DD4577" w:rsidRDefault="00DD4577" w:rsidP="00DD4577">
      <w:pPr>
        <w:spacing w:after="0" w:line="240" w:lineRule="auto"/>
        <w:ind w:left="720" w:hanging="720"/>
        <w:jc w:val="both"/>
        <w:rPr>
          <w:rFonts w:eastAsia="Calibri"/>
        </w:rPr>
      </w:pPr>
    </w:p>
    <w:p w14:paraId="55DD8D66" w14:textId="3EF800DE" w:rsidR="00114D4F" w:rsidRDefault="00114D4F" w:rsidP="00114D4F">
      <w:pPr>
        <w:jc w:val="both"/>
      </w:pPr>
      <w:r>
        <w:t xml:space="preserve">We recommend </w:t>
      </w:r>
      <w:r w:rsidR="000D774F">
        <w:t xml:space="preserve">you choose </w:t>
      </w:r>
      <w:r>
        <w:t xml:space="preserve">Microsoft hosting of Grants Manager on the Microsoft Government Community Cloud. The Microsoft cloud is integrated with Office 365 and uses single sign-on. </w:t>
      </w:r>
    </w:p>
    <w:p w14:paraId="4FF07854" w14:textId="77777777" w:rsidR="00114D4F" w:rsidRDefault="00114D4F" w:rsidP="00114D4F">
      <w:pPr>
        <w:jc w:val="both"/>
      </w:pPr>
      <w:r>
        <w:t>Microsoft is committed to enabling government agencies to reduce the complexity of IT, meet compliance and security regulations, and turn data and insight into intelligent action – making interactions with citizens impactful and driving government efficiencies.</w:t>
      </w:r>
    </w:p>
    <w:p w14:paraId="106F44F0" w14:textId="67EA55E1" w:rsidR="00114D4F" w:rsidRDefault="00114D4F" w:rsidP="00114D4F">
      <w:pPr>
        <w:jc w:val="both"/>
      </w:pPr>
      <w:r>
        <w:t>Government agencies are adopting the cloud to store data from a multitude of sources like web traffic and business systems. Once an organization has the infrastructure for harnessing data, they also need a layer atop that data that enables them to get insights easily. That’s what the Power Platform is—a system that enables users to do three key actions on data: Analyze, Act, and Automate. Power BI, PowerApps, an Flow work together to help anyone, regardless of technical ability, drive decisions with data.</w:t>
      </w:r>
    </w:p>
    <w:p w14:paraId="7EE822AF" w14:textId="77777777" w:rsidR="00114D4F" w:rsidRDefault="00114D4F" w:rsidP="00114D4F">
      <w:pPr>
        <w:jc w:val="both"/>
      </w:pPr>
      <w:r>
        <w:t>PowerApps for Government is generally available now PowerApps will also be available in Dynamics 365, Microsoft 365 and Office 365 in Spring 2019. This environment supports compliance with US government requirements for cloud services, including FedRAMP High, and requirements for criminal justice.</w:t>
      </w:r>
    </w:p>
    <w:p w14:paraId="2CC19C1D" w14:textId="77777777" w:rsidR="00114D4F" w:rsidRDefault="00114D4F" w:rsidP="00114D4F">
      <w:pPr>
        <w:jc w:val="both"/>
      </w:pPr>
      <w:r>
        <w:t xml:space="preserve">Microsoft has created Microsoft Dynamics 365 US Government that is available to qualified government entities in the United States. On October 11, 2016, Microsoft announced the next generation of intelligent business applications in the cloud under the brand Microsoft Dynamics 365. To this end, Microsoft Dynamics 365 US Government entails a continuity of the protected environment that was originally branded Microsoft CRM Online Government. </w:t>
      </w:r>
    </w:p>
    <w:p w14:paraId="1A8EC56D" w14:textId="77777777" w:rsidR="00114D4F" w:rsidRDefault="00114D4F" w:rsidP="00114D4F">
      <w:pPr>
        <w:jc w:val="both"/>
      </w:pPr>
      <w:r>
        <w:t>Dynamics 365 US Government has been generally available to customers through deployment into the Government Community Cloud (GCC) since January 2017. Among other compliance commitments and reviews as documented in the Microsoft Trust Center, the service has received several agency Authority to Operate (ATOs) since that time. It was the first Cloud Solution Provider (CSP) to achieve a FedRAMP Joint Application Board Provisional Authority to Operate (JAB P-ATO) through the JAB Accelerated Process. In March 2018 the service impact level was granted a FedRAMP JAB High P-ATO.</w:t>
      </w:r>
    </w:p>
    <w:p w14:paraId="023648A9" w14:textId="77777777" w:rsidR="00114D4F" w:rsidRDefault="00114D4F" w:rsidP="00114D4F">
      <w:pPr>
        <w:jc w:val="both"/>
      </w:pPr>
      <w:r>
        <w:t>Beginning April 2019, eligible customers may now choose to deploy Dynamics 365 US Government to the “GCC High” environment, which enables single sign-on and seamless integration with Office 365 GCC High deployments. Microsoft has designed the platform and our operational procedures to meet the requirements aligning with the DISA SRG IL4 compliance framework. We anticipate our US Department of Defense contractor customer base and other Federal agencies currently leveraging Office 365 GCC High to use the Dynamics 365 US Government GCC High deployment option, which enables and requires the customer to leverage Azure AD Government for customer identities, in contrast to GCC which leverages Public Azure AD. For our US Department of Defense contractor customer base, Microsoft operates the service in a manner that enables these customers to meet ITAR commitment and DFARS acquisition regulations, as documented and required by their contracts with the US Department of Defense.</w:t>
      </w:r>
    </w:p>
    <w:p w14:paraId="27385534" w14:textId="77777777" w:rsidR="00114D4F" w:rsidRDefault="00114D4F" w:rsidP="00114D4F">
      <w:pPr>
        <w:jc w:val="both"/>
      </w:pPr>
      <w:r>
        <w:t>Dynamics 365 US Government plans are available to qualified government and private entities, limited to (</w:t>
      </w:r>
      <w:proofErr w:type="spellStart"/>
      <w:r>
        <w:t>i</w:t>
      </w:r>
      <w:proofErr w:type="spellEnd"/>
      <w:r>
        <w:t xml:space="preserve">) United States (US) federal, state, local, tribal, and territorial government entities; (ii) private entities using Dynamics 365 US Government to provide solutions to a government entity or a qualified member of the cloud community; and (iii) private entities with customer data subject to government regulations </w:t>
      </w:r>
      <w:r>
        <w:lastRenderedPageBreak/>
        <w:t xml:space="preserve">for which the use of Dynamics 365 US Government is the appropriate service to meet the regulatory requirements. </w:t>
      </w:r>
    </w:p>
    <w:p w14:paraId="3729631D" w14:textId="77777777" w:rsidR="00114D4F" w:rsidRDefault="00114D4F" w:rsidP="00114D4F">
      <w:pPr>
        <w:pStyle w:val="OfferorResponseLevel1"/>
        <w:numPr>
          <w:ilvl w:val="0"/>
          <w:numId w:val="0"/>
        </w:numPr>
        <w:tabs>
          <w:tab w:val="clear" w:pos="1800"/>
          <w:tab w:val="left" w:pos="720"/>
        </w:tabs>
        <w:spacing w:before="0" w:after="0"/>
      </w:pPr>
    </w:p>
    <w:p w14:paraId="49CC245B" w14:textId="77777777" w:rsidR="00114D4F" w:rsidRDefault="00114D4F" w:rsidP="00114D4F">
      <w:pPr>
        <w:pStyle w:val="OfferorResponseLevel1"/>
        <w:numPr>
          <w:ilvl w:val="0"/>
          <w:numId w:val="0"/>
        </w:numPr>
        <w:tabs>
          <w:tab w:val="clear" w:pos="1800"/>
          <w:tab w:val="left" w:pos="720"/>
        </w:tabs>
        <w:spacing w:before="0" w:after="0"/>
      </w:pPr>
    </w:p>
    <w:p w14:paraId="379B8236" w14:textId="77777777" w:rsidR="00114D4F" w:rsidRDefault="00114D4F" w:rsidP="00114D4F">
      <w:pPr>
        <w:pStyle w:val="OfferorResponseLevel1"/>
        <w:numPr>
          <w:ilvl w:val="0"/>
          <w:numId w:val="0"/>
        </w:numPr>
        <w:tabs>
          <w:tab w:val="clear" w:pos="1800"/>
          <w:tab w:val="left" w:pos="720"/>
        </w:tabs>
        <w:spacing w:before="0" w:after="0"/>
      </w:pPr>
    </w:p>
    <w:p w14:paraId="63DF3293" w14:textId="77777777" w:rsidR="00114D4F" w:rsidRDefault="00114D4F" w:rsidP="00114D4F">
      <w:pPr>
        <w:pStyle w:val="OfferorResponseLevel1"/>
        <w:numPr>
          <w:ilvl w:val="0"/>
          <w:numId w:val="0"/>
        </w:numPr>
        <w:tabs>
          <w:tab w:val="clear" w:pos="1800"/>
          <w:tab w:val="left" w:pos="720"/>
        </w:tabs>
        <w:spacing w:before="0" w:after="0"/>
      </w:pPr>
    </w:p>
    <w:p w14:paraId="2291C1E1" w14:textId="6C3A25F4" w:rsidR="000841A8" w:rsidRDefault="000841A8" w:rsidP="00114D4F">
      <w:pPr>
        <w:spacing w:after="0" w:line="240" w:lineRule="auto"/>
        <w:ind w:left="720" w:hanging="720"/>
        <w:jc w:val="both"/>
      </w:pPr>
    </w:p>
    <w:sectPr w:rsidR="000841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700B1"/>
    <w:multiLevelType w:val="multilevel"/>
    <w:tmpl w:val="46CEA048"/>
    <w:lvl w:ilvl="0">
      <w:start w:val="1"/>
      <w:numFmt w:val="decimal"/>
      <w:pStyle w:val="OfferorResponseLevel1"/>
      <w:lvlText w:val="Requirement %1,"/>
      <w:lvlJc w:val="left"/>
      <w:pPr>
        <w:ind w:left="2880" w:hanging="288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OfferorResponseLevel2"/>
      <w:lvlText w:val="%2."/>
      <w:lvlJc w:val="left"/>
      <w:pPr>
        <w:ind w:left="1080" w:hanging="360"/>
      </w:pPr>
      <w:rPr>
        <w:rFonts w:cs="Times New Roman" w:hint="default"/>
      </w:rPr>
    </w:lvl>
    <w:lvl w:ilvl="2">
      <w:start w:val="1"/>
      <w:numFmt w:val="lowerRoman"/>
      <w:pStyle w:val="OfferorResponseLevel3"/>
      <w:lvlText w:val="%3."/>
      <w:lvlJc w:val="left"/>
      <w:pPr>
        <w:ind w:left="144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31626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577"/>
    <w:rsid w:val="000841A8"/>
    <w:rsid w:val="000D774F"/>
    <w:rsid w:val="00114D4F"/>
    <w:rsid w:val="00256438"/>
    <w:rsid w:val="00DD45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0690"/>
  <w15:chartTrackingRefBased/>
  <w15:docId w15:val="{C9F4E932-386B-40F7-9E74-61AE9B336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577"/>
    <w:rPr>
      <w:rFonts w:eastAsiaTheme="minorEastAs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fferorResponseLevel1">
    <w:name w:val="Offeror Response Level 1"/>
    <w:basedOn w:val="Normal"/>
    <w:qFormat/>
    <w:rsid w:val="00114D4F"/>
    <w:pPr>
      <w:keepLines/>
      <w:numPr>
        <w:numId w:val="1"/>
      </w:numPr>
      <w:tabs>
        <w:tab w:val="left" w:pos="1800"/>
        <w:tab w:val="left" w:pos="3600"/>
      </w:tabs>
      <w:spacing w:before="240" w:after="120" w:line="240" w:lineRule="auto"/>
      <w:ind w:left="0" w:firstLine="0"/>
      <w:jc w:val="both"/>
    </w:pPr>
    <w:rPr>
      <w:rFonts w:ascii="Times New Roman" w:eastAsia="Times New Roman" w:hAnsi="Times New Roman"/>
      <w:sz w:val="24"/>
      <w:szCs w:val="24"/>
    </w:rPr>
  </w:style>
  <w:style w:type="paragraph" w:customStyle="1" w:styleId="OfferorResponseLevel2">
    <w:name w:val="Offeror Response Level 2"/>
    <w:basedOn w:val="OfferorResponseLevel1"/>
    <w:qFormat/>
    <w:rsid w:val="00114D4F"/>
    <w:pPr>
      <w:numPr>
        <w:ilvl w:val="1"/>
      </w:numPr>
      <w:tabs>
        <w:tab w:val="clear" w:pos="3600"/>
      </w:tabs>
      <w:spacing w:before="120"/>
      <w:ind w:left="1440"/>
    </w:pPr>
  </w:style>
  <w:style w:type="paragraph" w:customStyle="1" w:styleId="OfferorResponseLevel3">
    <w:name w:val="Offeror Response Level 3"/>
    <w:basedOn w:val="OfferorResponseLevel2"/>
    <w:qFormat/>
    <w:rsid w:val="00114D4F"/>
    <w:pPr>
      <w:numPr>
        <w:ilvl w:val="2"/>
      </w:numPr>
      <w:tabs>
        <w:tab w:val="left" w:pos="2160"/>
      </w:tabs>
      <w:ind w:left="2160"/>
    </w:pPr>
  </w:style>
  <w:style w:type="table" w:styleId="TableGrid">
    <w:name w:val="Table Grid"/>
    <w:aliases w:val="Table Grid 3 column"/>
    <w:basedOn w:val="TableNormal"/>
    <w:uiPriority w:val="39"/>
    <w:rsid w:val="00114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572</Words>
  <Characters>3266</Characters>
  <Application>Microsoft Office Word</Application>
  <DocSecurity>0</DocSecurity>
  <Lines>27</Lines>
  <Paragraphs>7</Paragraphs>
  <ScaleCrop>false</ScaleCrop>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Townsend</dc:creator>
  <cp:keywords/>
  <dc:description/>
  <cp:lastModifiedBy>James Townsend</cp:lastModifiedBy>
  <cp:revision>4</cp:revision>
  <dcterms:created xsi:type="dcterms:W3CDTF">2022-11-02T19:45:00Z</dcterms:created>
  <dcterms:modified xsi:type="dcterms:W3CDTF">2022-11-03T12:17:00Z</dcterms:modified>
</cp:coreProperties>
</file>